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328E1">
      <w:pPr>
        <w:widowControl/>
        <w:numPr>
          <w:ilvl w:val="255"/>
          <w:numId w:val="0"/>
        </w:numPr>
        <w:spacing w:line="560" w:lineRule="exact"/>
        <w:jc w:val="left"/>
        <w:rPr>
          <w:rStyle w:val="4"/>
          <w:rFonts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附件1</w:t>
      </w:r>
    </w:p>
    <w:p w14:paraId="3FA41ED3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1</w:t>
      </w:r>
      <w:r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.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论坛报告征集范围</w:t>
      </w:r>
    </w:p>
    <w:p w14:paraId="163F4B63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向有意愿参会的单位或企业征集以下四个方向的报告：</w:t>
      </w:r>
    </w:p>
    <w:p w14:paraId="153BDA6D">
      <w:pPr>
        <w:widowControl/>
        <w:numPr>
          <w:ilvl w:val="0"/>
          <w:numId w:val="0"/>
        </w:numPr>
        <w:spacing w:line="560" w:lineRule="exact"/>
        <w:ind w:left="0" w:firstLine="0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①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AI大环境下古生物复原新技术的应用；</w:t>
      </w:r>
    </w:p>
    <w:p w14:paraId="343749AF">
      <w:pPr>
        <w:widowControl/>
        <w:numPr>
          <w:ilvl w:val="0"/>
          <w:numId w:val="0"/>
        </w:numPr>
        <w:spacing w:line="560" w:lineRule="exact"/>
        <w:ind w:left="0" w:firstLine="0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②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古生物复原艺术的实践与发展；</w:t>
      </w:r>
    </w:p>
    <w:p w14:paraId="4812A05B">
      <w:pPr>
        <w:widowControl/>
        <w:numPr>
          <w:ilvl w:val="0"/>
          <w:numId w:val="0"/>
        </w:numPr>
        <w:spacing w:line="560" w:lineRule="exact"/>
        <w:ind w:left="0" w:firstLine="0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③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机遇与挑战——古生物复原成果的科普转化路径、文创开发及产业发展；</w:t>
      </w:r>
    </w:p>
    <w:p w14:paraId="19325283">
      <w:pPr>
        <w:widowControl/>
        <w:numPr>
          <w:ilvl w:val="0"/>
          <w:numId w:val="0"/>
        </w:numPr>
        <w:spacing w:line="560" w:lineRule="exact"/>
        <w:ind w:left="0" w:firstLine="0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④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古生物复原的版权保护与行业标准制定。</w:t>
      </w:r>
    </w:p>
    <w:p w14:paraId="3128B18B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2</w:t>
      </w:r>
      <w:r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.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 xml:space="preserve">参会回执联系人：马宁 </w:t>
      </w:r>
      <w:r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 xml:space="preserve"> 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13810208115</w:t>
      </w:r>
    </w:p>
    <w:p w14:paraId="6618B213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 xml:space="preserve">邮箱： </w:t>
      </w:r>
      <w:r>
        <w:rPr>
          <w:rStyle w:val="3"/>
        </w:rPr>
        <w:t>maning@ivpp.ac.cn</w:t>
      </w:r>
    </w:p>
    <w:p w14:paraId="10E7C106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微信二维码：</w:t>
      </w:r>
    </w:p>
    <w:p w14:paraId="3A943B2A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14:ligatures w14:val="standardContextu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88900</wp:posOffset>
            </wp:positionV>
            <wp:extent cx="1303020" cy="1339215"/>
            <wp:effectExtent l="0" t="0" r="11430" b="13335"/>
            <wp:wrapNone/>
            <wp:docPr id="6292511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25116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33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 xml:space="preserve"> </w:t>
      </w:r>
    </w:p>
    <w:p w14:paraId="54E95E0D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</w:p>
    <w:p w14:paraId="3C764CF0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</w:p>
    <w:p w14:paraId="3D185F5D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</w:p>
    <w:p w14:paraId="71B49DB2">
      <w:pPr>
        <w:widowControl/>
        <w:spacing w:line="560" w:lineRule="exact"/>
        <w:jc w:val="left"/>
        <w:rPr>
          <w:rStyle w:val="4"/>
          <w:rFonts w:ascii="方正仿宋_GB2312" w:hAnsi="方正仿宋_GB2312" w:eastAsia="方正仿宋_GB2312" w:cs="方正仿宋_GB2312"/>
          <w:b w:val="0"/>
          <w:kern w:val="0"/>
          <w:sz w:val="28"/>
          <w:szCs w:val="28"/>
          <w:lang w:bidi="ar"/>
          <w14:ligatures w14:val="standardContextual"/>
        </w:rPr>
      </w:pPr>
      <w:r>
        <w:rPr>
          <w:rStyle w:val="4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3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kern w:val="0"/>
          <w:sz w:val="28"/>
          <w:szCs w:val="28"/>
          <w:lang w:bidi="ar"/>
          <w14:ligatures w14:val="standardContextual"/>
        </w:rPr>
        <w:t>.参会回执：</w:t>
      </w:r>
    </w:p>
    <w:tbl>
      <w:tblPr>
        <w:tblStyle w:val="2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126"/>
        <w:gridCol w:w="1559"/>
        <w:gridCol w:w="2652"/>
      </w:tblGrid>
      <w:tr w14:paraId="4F40F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47" w:type="dxa"/>
            <w:vAlign w:val="center"/>
          </w:tcPr>
          <w:p w14:paraId="3BF0B2DC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姓名</w:t>
            </w:r>
          </w:p>
        </w:tc>
        <w:tc>
          <w:tcPr>
            <w:tcW w:w="2126" w:type="dxa"/>
          </w:tcPr>
          <w:p w14:paraId="1C0A795E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 w14:paraId="58DEBDA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职务/职称</w:t>
            </w:r>
          </w:p>
        </w:tc>
        <w:tc>
          <w:tcPr>
            <w:tcW w:w="2652" w:type="dxa"/>
          </w:tcPr>
          <w:p w14:paraId="741E737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14:paraId="3B1E8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0A73E218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单位</w:t>
            </w:r>
          </w:p>
        </w:tc>
        <w:tc>
          <w:tcPr>
            <w:tcW w:w="6337" w:type="dxa"/>
            <w:gridSpan w:val="3"/>
          </w:tcPr>
          <w:p w14:paraId="1AB55F8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14:paraId="2BDFF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1D87E3D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E-mail</w:t>
            </w:r>
          </w:p>
        </w:tc>
        <w:tc>
          <w:tcPr>
            <w:tcW w:w="6337" w:type="dxa"/>
            <w:gridSpan w:val="3"/>
          </w:tcPr>
          <w:p w14:paraId="013D688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14:paraId="09A1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4AC7069F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联系电话（手机）</w:t>
            </w:r>
          </w:p>
        </w:tc>
        <w:tc>
          <w:tcPr>
            <w:tcW w:w="6337" w:type="dxa"/>
            <w:gridSpan w:val="3"/>
          </w:tcPr>
          <w:p w14:paraId="5055E0E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14:paraId="03ACB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04A7642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通讯地址</w:t>
            </w:r>
          </w:p>
        </w:tc>
        <w:tc>
          <w:tcPr>
            <w:tcW w:w="6337" w:type="dxa"/>
            <w:gridSpan w:val="3"/>
          </w:tcPr>
          <w:p w14:paraId="24B9B6F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14:paraId="63655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13A25BCC"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会议报告</w:t>
            </w:r>
          </w:p>
        </w:tc>
        <w:tc>
          <w:tcPr>
            <w:tcW w:w="6337" w:type="dxa"/>
            <w:gridSpan w:val="3"/>
          </w:tcPr>
          <w:p w14:paraId="56A863B8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口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头报告      </w:t>
            </w:r>
            <w:r>
              <w:rPr>
                <w:rFonts w:asciiTheme="minorEastAsia" w:hAnsi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展板报告      </w:t>
            </w:r>
            <w:r>
              <w:rPr>
                <w:rFonts w:asciiTheme="minorEastAsia" w:hAnsi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无  </w:t>
            </w:r>
          </w:p>
          <w:p w14:paraId="33EB4290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报告题目：（可在第二轮回执中调整）</w:t>
            </w:r>
          </w:p>
        </w:tc>
      </w:tr>
      <w:tr w14:paraId="4ECC8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547" w:type="dxa"/>
            <w:vAlign w:val="center"/>
          </w:tcPr>
          <w:p w14:paraId="40B9DA12">
            <w:pPr>
              <w:jc w:val="center"/>
              <w:rPr>
                <w:rFonts w:asciiTheme="minorEastAsia" w:hAnsi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备注</w:t>
            </w:r>
          </w:p>
        </w:tc>
        <w:tc>
          <w:tcPr>
            <w:tcW w:w="6337" w:type="dxa"/>
            <w:gridSpan w:val="3"/>
            <w:vAlign w:val="center"/>
          </w:tcPr>
          <w:p w14:paraId="6E1C4D40"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 w14:paraId="43FCFDF3">
      <w:pPr>
        <w:widowControl/>
        <w:spacing w:line="560" w:lineRule="exact"/>
        <w:jc w:val="left"/>
        <w:rPr>
          <w:rStyle w:val="4"/>
          <w:rFonts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</w:pPr>
    </w:p>
    <w:p w14:paraId="5180A26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4D3614E-93CB-486C-A67C-05CE0B66C22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57A35CB-10E1-42B2-93FA-2BC8F031E18C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2FBB4EDC-6F2A-4E94-80D0-395E2639D8CF}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834B175E-FE1E-4D64-9A22-87875E6B6866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76293"/>
    <w:rsid w:val="7B476293"/>
    <w:rsid w:val="7CE7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  <w:style w:type="character" w:styleId="5">
    <w:name w:val="Hyperlink"/>
    <w:basedOn w:val="3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275</Characters>
  <Lines>0</Lines>
  <Paragraphs>0</Paragraphs>
  <TotalTime>2</TotalTime>
  <ScaleCrop>false</ScaleCrop>
  <LinksUpToDate>false</LinksUpToDate>
  <CharactersWithSpaces>293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2026-04-08T07:18:00Z</dcterms:created>
  <dc:creator>cupfidelqqcom</dc:creator>
  <cp:lastModifiedBy>cupfidelqqcom</cp:lastModifiedBy>
  <dcterms:modified xsi:type="dcterms:W3CDTF">2026-04-08T08:07:36Z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DD73A6E00FA849E6B85174DE59F2C771_11</vt:lpwstr>
  </property>
  <property fmtid="{D5CDD505-2E9C-101B-9397-08002B2CF9AE}" pid="4" name="KSOTemplateDocerSaveRecord">
    <vt:lpwstr>eyJoZGlkIjoiOGE0YTk0OTU3MWYxOWIzOTkwMWQzYjhlNjU4ODFmMzciLCJ1c2VySWQiOiI5MTUxMjUzIn0=</vt:lpwstr>
  </property>
</Properties>
</file>